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357C11">
        <w:rPr>
          <w:b/>
          <w:sz w:val="24"/>
          <w:szCs w:val="24"/>
        </w:rPr>
        <w:t>hválené rozpočtové opatření č. 8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357C11">
        <w:rPr>
          <w:sz w:val="24"/>
          <w:szCs w:val="24"/>
        </w:rPr>
        <w:t>eného rozpočtového opatření č. 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C33E8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357C11"/>
    <w:rsid w:val="00786F35"/>
    <w:rsid w:val="009F6183"/>
    <w:rsid w:val="00BB7FF4"/>
    <w:rsid w:val="00C33E88"/>
    <w:rsid w:val="00C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Zdenka</cp:lastModifiedBy>
  <cp:revision>2</cp:revision>
  <dcterms:created xsi:type="dcterms:W3CDTF">2017-10-02T12:33:00Z</dcterms:created>
  <dcterms:modified xsi:type="dcterms:W3CDTF">2017-10-02T12:33:00Z</dcterms:modified>
</cp:coreProperties>
</file>